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3CAAAF7" w14:textId="77777777" w:rsidR="005C1675" w:rsidRPr="00D02384" w:rsidRDefault="005C1675" w:rsidP="005C1675">
      <w:pPr>
        <w:spacing w:line="360" w:lineRule="auto"/>
        <w:ind w:firstLine="709"/>
        <w:jc w:val="center"/>
        <w:rPr>
          <w:rFonts w:eastAsia="Calibri"/>
          <w:b/>
          <w:sz w:val="28"/>
          <w:szCs w:val="28"/>
          <w:lang w:eastAsia="en-US"/>
        </w:rPr>
      </w:pPr>
      <w:r w:rsidRPr="00D02384">
        <w:rPr>
          <w:rFonts w:eastAsia="Calibri"/>
          <w:b/>
          <w:sz w:val="28"/>
          <w:szCs w:val="28"/>
          <w:lang w:eastAsia="en-US"/>
        </w:rPr>
        <w:t>РЕФЕРАТ</w:t>
      </w:r>
      <w:r w:rsidR="002026B7" w:rsidRPr="00D02384">
        <w:rPr>
          <w:rFonts w:eastAsia="Calibri"/>
          <w:b/>
          <w:sz w:val="28"/>
          <w:szCs w:val="28"/>
          <w:lang w:eastAsia="en-US"/>
        </w:rPr>
        <w:t xml:space="preserve"> (пример)</w:t>
      </w:r>
    </w:p>
    <w:p w14:paraId="210DBAFF" w14:textId="77777777" w:rsidR="005C1675" w:rsidRPr="00C1345A" w:rsidRDefault="005C1675" w:rsidP="00C1345A">
      <w:pPr>
        <w:jc w:val="both"/>
        <w:rPr>
          <w:rFonts w:eastAsia="Calibri"/>
          <w:sz w:val="22"/>
          <w:szCs w:val="22"/>
          <w:lang w:eastAsia="en-US"/>
        </w:rPr>
      </w:pPr>
      <w:proofErr w:type="gramStart"/>
      <w:r w:rsidRPr="00C1345A">
        <w:rPr>
          <w:rFonts w:eastAsia="Calibri"/>
          <w:sz w:val="22"/>
          <w:szCs w:val="22"/>
          <w:lang w:eastAsia="en-US"/>
        </w:rPr>
        <w:t>Авторы</w:t>
      </w:r>
      <w:r w:rsidR="000154CF" w:rsidRPr="00C1345A">
        <w:rPr>
          <w:rFonts w:eastAsia="Calibri"/>
          <w:sz w:val="22"/>
          <w:szCs w:val="22"/>
          <w:lang w:eastAsia="en-US"/>
        </w:rPr>
        <w:t>(</w:t>
      </w:r>
      <w:proofErr w:type="gramEnd"/>
      <w:r w:rsidR="000154CF" w:rsidRPr="00C1345A">
        <w:rPr>
          <w:rFonts w:eastAsia="Calibri"/>
          <w:sz w:val="22"/>
          <w:szCs w:val="22"/>
          <w:lang w:eastAsia="en-US"/>
        </w:rPr>
        <w:t>Ф.И.О. полностью)</w:t>
      </w:r>
      <w:r w:rsidRPr="00C1345A">
        <w:rPr>
          <w:rFonts w:eastAsia="Calibri"/>
          <w:sz w:val="22"/>
          <w:szCs w:val="22"/>
          <w:lang w:eastAsia="en-US"/>
        </w:rPr>
        <w:t xml:space="preserve">: </w:t>
      </w:r>
      <w:r w:rsidRPr="00C1345A">
        <w:rPr>
          <w:sz w:val="22"/>
          <w:szCs w:val="22"/>
        </w:rPr>
        <w:t>Сергиенко Евгений Викторович</w:t>
      </w:r>
    </w:p>
    <w:p w14:paraId="26CB8661" w14:textId="77777777" w:rsidR="00C1345A" w:rsidRDefault="00C1345A" w:rsidP="00C1345A">
      <w:pPr>
        <w:ind w:hanging="33"/>
        <w:rPr>
          <w:rFonts w:eastAsia="Calibri"/>
          <w:sz w:val="22"/>
          <w:szCs w:val="22"/>
          <w:lang w:eastAsia="en-US"/>
        </w:rPr>
      </w:pPr>
    </w:p>
    <w:p w14:paraId="68EF047D" w14:textId="77777777" w:rsidR="005C1675" w:rsidRPr="00C1345A" w:rsidRDefault="005C1675" w:rsidP="00C1345A">
      <w:pPr>
        <w:ind w:hanging="33"/>
        <w:rPr>
          <w:rFonts w:eastAsia="Calibri"/>
          <w:sz w:val="22"/>
          <w:szCs w:val="22"/>
          <w:lang w:eastAsia="en-US"/>
        </w:rPr>
      </w:pPr>
      <w:r w:rsidRPr="00C1345A">
        <w:rPr>
          <w:rFonts w:eastAsia="Calibri"/>
          <w:sz w:val="22"/>
          <w:szCs w:val="22"/>
          <w:lang w:eastAsia="en-US"/>
        </w:rPr>
        <w:t xml:space="preserve">Правообладатель: </w:t>
      </w:r>
      <w:r w:rsidR="00EF382F" w:rsidRPr="00C1345A">
        <w:rPr>
          <w:rFonts w:eastAsia="Calibri"/>
          <w:sz w:val="22"/>
          <w:szCs w:val="22"/>
          <w:lang w:eastAsia="en-US"/>
        </w:rPr>
        <w:t>Федеральное государственное бюджетное образовательное учреждение высшего образования «Тюменский индустриальный университет» (ТИУ)</w:t>
      </w:r>
    </w:p>
    <w:p w14:paraId="348C13AA" w14:textId="77777777" w:rsidR="00C1345A" w:rsidRDefault="00C1345A" w:rsidP="00C1345A">
      <w:pPr>
        <w:jc w:val="both"/>
        <w:rPr>
          <w:rFonts w:eastAsia="Calibri"/>
          <w:sz w:val="22"/>
          <w:szCs w:val="22"/>
          <w:lang w:eastAsia="en-US"/>
        </w:rPr>
      </w:pPr>
    </w:p>
    <w:p w14:paraId="7CDB3BF1" w14:textId="77777777" w:rsidR="005C1675" w:rsidRPr="00C1345A" w:rsidRDefault="00830ABF" w:rsidP="00C1345A">
      <w:pPr>
        <w:jc w:val="both"/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>База данных</w:t>
      </w:r>
      <w:r w:rsidR="000154CF" w:rsidRPr="00C1345A">
        <w:rPr>
          <w:rFonts w:eastAsia="Calibri"/>
          <w:sz w:val="22"/>
          <w:szCs w:val="22"/>
          <w:lang w:eastAsia="en-US"/>
        </w:rPr>
        <w:t xml:space="preserve"> (название)</w:t>
      </w:r>
      <w:r w:rsidR="005C1675" w:rsidRPr="00C1345A">
        <w:rPr>
          <w:rFonts w:eastAsia="Calibri"/>
          <w:sz w:val="22"/>
          <w:szCs w:val="22"/>
          <w:lang w:eastAsia="en-US"/>
        </w:rPr>
        <w:t>: «Бурение нефтяных и газовых скважин»</w:t>
      </w:r>
    </w:p>
    <w:p w14:paraId="01978EEE" w14:textId="77777777" w:rsidR="00C1345A" w:rsidRDefault="00C1345A" w:rsidP="00C1345A">
      <w:pPr>
        <w:rPr>
          <w:rFonts w:eastAsia="Calibri"/>
          <w:sz w:val="22"/>
          <w:szCs w:val="22"/>
          <w:lang w:eastAsia="en-US"/>
        </w:rPr>
      </w:pPr>
    </w:p>
    <w:p w14:paraId="2E52F609" w14:textId="77777777" w:rsidR="000154CF" w:rsidRPr="00C1345A" w:rsidRDefault="005C1675" w:rsidP="00C1345A">
      <w:pPr>
        <w:rPr>
          <w:rFonts w:eastAsia="Calibri"/>
          <w:sz w:val="22"/>
          <w:szCs w:val="22"/>
          <w:lang w:eastAsia="en-US"/>
        </w:rPr>
      </w:pPr>
      <w:r w:rsidRPr="00C1345A">
        <w:rPr>
          <w:rFonts w:eastAsia="Calibri"/>
          <w:sz w:val="22"/>
          <w:szCs w:val="22"/>
          <w:lang w:eastAsia="en-US"/>
        </w:rPr>
        <w:t>Аннотация</w:t>
      </w:r>
      <w:r w:rsidR="000154CF" w:rsidRPr="00C1345A">
        <w:rPr>
          <w:rFonts w:eastAsia="Calibri"/>
          <w:sz w:val="22"/>
          <w:szCs w:val="22"/>
          <w:lang w:eastAsia="en-US"/>
        </w:rPr>
        <w:t xml:space="preserve"> (указывается - </w:t>
      </w:r>
      <w:r w:rsidR="000154CF" w:rsidRPr="005B12A6">
        <w:rPr>
          <w:b/>
          <w:sz w:val="28"/>
          <w:szCs w:val="28"/>
          <w:u w:val="single"/>
        </w:rPr>
        <w:t>назначение, область применения и функциональные возможности</w:t>
      </w:r>
      <w:r w:rsidR="000154CF" w:rsidRPr="00C1345A">
        <w:rPr>
          <w:rFonts w:eastAsia="Calibri"/>
          <w:sz w:val="22"/>
          <w:szCs w:val="22"/>
          <w:lang w:eastAsia="en-US"/>
        </w:rPr>
        <w:t>)</w:t>
      </w:r>
      <w:r w:rsidR="00562999" w:rsidRPr="00562999">
        <w:rPr>
          <w:rFonts w:eastAsia="Calibri"/>
          <w:sz w:val="22"/>
          <w:szCs w:val="22"/>
          <w:lang w:eastAsia="en-US"/>
        </w:rPr>
        <w:t xml:space="preserve"> </w:t>
      </w:r>
      <w:r w:rsidR="00562999" w:rsidRPr="009A70E2">
        <w:rPr>
          <w:rFonts w:eastAsia="Calibri"/>
          <w:sz w:val="22"/>
          <w:szCs w:val="22"/>
          <w:lang w:eastAsia="en-US"/>
        </w:rPr>
        <w:t>Объем аннотации, как правило, не должен превышать 700 знаков</w:t>
      </w:r>
      <w:r w:rsidRPr="00C1345A">
        <w:rPr>
          <w:rFonts w:eastAsia="Calibri"/>
          <w:sz w:val="22"/>
          <w:szCs w:val="22"/>
          <w:lang w:eastAsia="en-US"/>
        </w:rPr>
        <w:t xml:space="preserve">: </w:t>
      </w:r>
    </w:p>
    <w:p w14:paraId="3FB58C3D" w14:textId="77777777" w:rsidR="00C1345A" w:rsidRDefault="00C1345A" w:rsidP="00C1345A">
      <w:pPr>
        <w:ind w:firstLine="709"/>
        <w:jc w:val="both"/>
        <w:rPr>
          <w:rFonts w:eastAsia="Calibri"/>
          <w:sz w:val="22"/>
          <w:szCs w:val="22"/>
          <w:lang w:eastAsia="en-US"/>
        </w:rPr>
      </w:pPr>
    </w:p>
    <w:p w14:paraId="32D1E4C1" w14:textId="77777777" w:rsidR="00830ABF" w:rsidRDefault="000154CF" w:rsidP="00830ABF">
      <w:pPr>
        <w:ind w:firstLine="709"/>
        <w:jc w:val="both"/>
        <w:rPr>
          <w:rFonts w:eastAsia="Calibri"/>
          <w:sz w:val="24"/>
          <w:szCs w:val="24"/>
          <w:lang w:eastAsia="en-US"/>
        </w:rPr>
      </w:pPr>
      <w:r w:rsidRPr="00940059">
        <w:rPr>
          <w:rFonts w:eastAsia="Calibri"/>
          <w:sz w:val="24"/>
          <w:szCs w:val="24"/>
          <w:lang w:eastAsia="en-US"/>
        </w:rPr>
        <w:t xml:space="preserve">Пример 1: </w:t>
      </w:r>
      <w:r w:rsidR="00830ABF" w:rsidRPr="00830ABF">
        <w:rPr>
          <w:rFonts w:eastAsia="Calibri"/>
          <w:sz w:val="24"/>
          <w:szCs w:val="24"/>
          <w:lang w:eastAsia="en-US"/>
        </w:rPr>
        <w:t xml:space="preserve">Учебник раскрывает основное содержание экономики природопользования. В нем изложены </w:t>
      </w:r>
      <w:proofErr w:type="spellStart"/>
      <w:r w:rsidR="00830ABF" w:rsidRPr="00830ABF">
        <w:rPr>
          <w:rFonts w:eastAsia="Calibri"/>
          <w:sz w:val="24"/>
          <w:szCs w:val="24"/>
          <w:lang w:eastAsia="en-US"/>
        </w:rPr>
        <w:t>теоритические</w:t>
      </w:r>
      <w:proofErr w:type="spellEnd"/>
      <w:r w:rsidR="00830ABF" w:rsidRPr="00830ABF">
        <w:rPr>
          <w:rFonts w:eastAsia="Calibri"/>
          <w:sz w:val="24"/>
          <w:szCs w:val="24"/>
          <w:lang w:eastAsia="en-US"/>
        </w:rPr>
        <w:t xml:space="preserve"> и методические подходы к ключевым вопросам дисциплины: объект и механизм природопользования, взаимодействие общества и природной среды, различные аспекты исследования природных ресурсов, их экономическая оценка и затраты на природопользование, экологизация экономики, глобальные экологические проблемы, международная природоохранная деятельность, </w:t>
      </w:r>
      <w:proofErr w:type="spellStart"/>
      <w:r w:rsidR="00830ABF" w:rsidRPr="00830ABF">
        <w:rPr>
          <w:rFonts w:eastAsia="Calibri"/>
          <w:sz w:val="24"/>
          <w:szCs w:val="24"/>
          <w:lang w:eastAsia="en-US"/>
        </w:rPr>
        <w:t>экоменеджмент</w:t>
      </w:r>
      <w:proofErr w:type="spellEnd"/>
      <w:r w:rsidR="00830ABF" w:rsidRPr="00830ABF">
        <w:rPr>
          <w:rFonts w:eastAsia="Calibri"/>
          <w:sz w:val="24"/>
          <w:szCs w:val="24"/>
          <w:lang w:eastAsia="en-US"/>
        </w:rPr>
        <w:t xml:space="preserve">, </w:t>
      </w:r>
      <w:proofErr w:type="spellStart"/>
      <w:r w:rsidR="00830ABF" w:rsidRPr="00830ABF">
        <w:rPr>
          <w:rFonts w:eastAsia="Calibri"/>
          <w:sz w:val="24"/>
          <w:szCs w:val="24"/>
          <w:lang w:eastAsia="en-US"/>
        </w:rPr>
        <w:t>экоаудит</w:t>
      </w:r>
      <w:proofErr w:type="spellEnd"/>
      <w:r w:rsidR="00830ABF" w:rsidRPr="00830ABF">
        <w:rPr>
          <w:rFonts w:eastAsia="Calibri"/>
          <w:sz w:val="24"/>
          <w:szCs w:val="24"/>
          <w:lang w:eastAsia="en-US"/>
        </w:rPr>
        <w:t xml:space="preserve"> и </w:t>
      </w:r>
      <w:proofErr w:type="spellStart"/>
      <w:r w:rsidR="00830ABF" w:rsidRPr="00830ABF">
        <w:rPr>
          <w:rFonts w:eastAsia="Calibri"/>
          <w:sz w:val="24"/>
          <w:szCs w:val="24"/>
          <w:lang w:eastAsia="en-US"/>
        </w:rPr>
        <w:t>экостраховаие</w:t>
      </w:r>
      <w:proofErr w:type="spellEnd"/>
      <w:r w:rsidR="00830ABF" w:rsidRPr="00830ABF">
        <w:rPr>
          <w:rFonts w:eastAsia="Calibri"/>
          <w:sz w:val="24"/>
          <w:szCs w:val="24"/>
          <w:lang w:eastAsia="en-US"/>
        </w:rPr>
        <w:t xml:space="preserve">. Учебник предназначен для магистрантов, бакалавров, обучающихся по направлениям «Экономика» и «Менеджмент», изучающих экономику природопользования; аспирантов, научных работников, специалистов, занятых в сфере природопользования. </w:t>
      </w:r>
    </w:p>
    <w:p w14:paraId="39418127" w14:textId="77777777" w:rsidR="00C1345A" w:rsidRDefault="000154CF" w:rsidP="00830ABF">
      <w:pPr>
        <w:ind w:firstLine="709"/>
        <w:jc w:val="both"/>
        <w:rPr>
          <w:rFonts w:eastAsia="Calibri"/>
          <w:sz w:val="24"/>
          <w:szCs w:val="24"/>
          <w:lang w:eastAsia="en-US"/>
        </w:rPr>
      </w:pPr>
      <w:r w:rsidRPr="00940059">
        <w:rPr>
          <w:rFonts w:eastAsia="Calibri"/>
          <w:sz w:val="24"/>
          <w:szCs w:val="24"/>
          <w:lang w:eastAsia="en-US"/>
        </w:rPr>
        <w:t>Пример 2:</w:t>
      </w:r>
      <w:r w:rsidR="00830ABF">
        <w:rPr>
          <w:rFonts w:eastAsia="Calibri"/>
          <w:sz w:val="24"/>
          <w:szCs w:val="24"/>
          <w:lang w:eastAsia="en-US"/>
        </w:rPr>
        <w:t xml:space="preserve"> </w:t>
      </w:r>
      <w:r w:rsidR="00830ABF" w:rsidRPr="00830ABF">
        <w:rPr>
          <w:rFonts w:eastAsia="Calibri"/>
          <w:sz w:val="24"/>
          <w:szCs w:val="24"/>
          <w:lang w:eastAsia="en-US"/>
        </w:rPr>
        <w:t>Электронный учебник представляет собой интерактивное обучающее средство и состоит из 9 тематических разделов, включающих 86 подразделов. Материалы базы данных могут быть использованы для самостоятельного изучения дидактических единиц, проверки теоретических положений курса на лабораторно-практических занятиях, самостоятельной работы студентов и магистрантов технического уровня по смежным дисциплинам. Приводятся задания и контрольные вопросы в конце тематических разделов. Также включены задания к контрольным работам. Предусмотрены ссылки на обязательную и дополнительную литературу. Быстрая навигация по базе данных осуществляется с помощью гиперссылок.</w:t>
      </w:r>
    </w:p>
    <w:p w14:paraId="2104821F" w14:textId="77777777" w:rsidR="00830ABF" w:rsidRPr="00940059" w:rsidRDefault="00830ABF" w:rsidP="00830ABF">
      <w:pPr>
        <w:ind w:firstLine="709"/>
        <w:jc w:val="both"/>
        <w:rPr>
          <w:rFonts w:eastAsia="Calibri"/>
          <w:sz w:val="24"/>
          <w:szCs w:val="24"/>
          <w:u w:val="single"/>
          <w:lang w:eastAsia="en-US"/>
        </w:rPr>
      </w:pPr>
    </w:p>
    <w:p w14:paraId="4500A7A4" w14:textId="77777777" w:rsidR="00EF382F" w:rsidRDefault="00EF382F" w:rsidP="00C1345A">
      <w:pPr>
        <w:spacing w:line="360" w:lineRule="auto"/>
        <w:jc w:val="both"/>
        <w:rPr>
          <w:rFonts w:eastAsia="Calibri"/>
          <w:sz w:val="22"/>
          <w:szCs w:val="22"/>
          <w:u w:val="single"/>
          <w:lang w:eastAsia="en-US"/>
        </w:rPr>
      </w:pPr>
      <w:r w:rsidRPr="00C1345A">
        <w:rPr>
          <w:rFonts w:eastAsia="Calibri"/>
          <w:sz w:val="22"/>
          <w:szCs w:val="22"/>
          <w:u w:val="single"/>
          <w:lang w:eastAsia="en-US"/>
        </w:rPr>
        <w:t>Далее указываются да</w:t>
      </w:r>
      <w:r w:rsidR="00C1345A">
        <w:rPr>
          <w:rFonts w:eastAsia="Calibri"/>
          <w:sz w:val="22"/>
          <w:szCs w:val="22"/>
          <w:u w:val="single"/>
          <w:lang w:eastAsia="en-US"/>
        </w:rPr>
        <w:t xml:space="preserve">нные базы данных </w:t>
      </w:r>
    </w:p>
    <w:p w14:paraId="4A5DB3C3" w14:textId="77777777" w:rsidR="00562999" w:rsidRPr="00562999" w:rsidRDefault="00562999" w:rsidP="00562999">
      <w:pPr>
        <w:pStyle w:val="a9"/>
        <w:jc w:val="both"/>
        <w:rPr>
          <w:rFonts w:ascii="Times New Roman" w:hAnsi="Times New Roman"/>
          <w:sz w:val="20"/>
          <w:szCs w:val="28"/>
        </w:rPr>
      </w:pPr>
      <w:r>
        <w:rPr>
          <w:rFonts w:ascii="Times New Roman" w:hAnsi="Times New Roman"/>
          <w:sz w:val="20"/>
          <w:szCs w:val="28"/>
        </w:rPr>
        <w:t>Вид и версия системы управления базой данных (для базы данных):</w:t>
      </w:r>
      <w:r w:rsidRPr="00562999">
        <w:rPr>
          <w:rFonts w:eastAsia="Calibri"/>
          <w:sz w:val="22"/>
          <w:szCs w:val="22"/>
          <w:lang w:eastAsia="en-US"/>
        </w:rPr>
        <w:t xml:space="preserve"> </w:t>
      </w:r>
      <w:r w:rsidRPr="00562999">
        <w:rPr>
          <w:rFonts w:ascii="Times New Roman" w:eastAsia="Calibri" w:hAnsi="Times New Roman"/>
          <w:sz w:val="22"/>
          <w:szCs w:val="22"/>
          <w:lang w:val="en-US" w:eastAsia="en-US"/>
        </w:rPr>
        <w:t>Microsoft</w:t>
      </w:r>
      <w:r w:rsidRPr="00562999">
        <w:rPr>
          <w:rFonts w:ascii="Times New Roman" w:eastAsia="Calibri" w:hAnsi="Times New Roman"/>
          <w:sz w:val="22"/>
          <w:szCs w:val="22"/>
          <w:lang w:eastAsia="en-US"/>
        </w:rPr>
        <w:t xml:space="preserve"> </w:t>
      </w:r>
      <w:r w:rsidRPr="00562999">
        <w:rPr>
          <w:rFonts w:ascii="Times New Roman" w:eastAsia="Calibri" w:hAnsi="Times New Roman"/>
          <w:sz w:val="22"/>
          <w:szCs w:val="22"/>
          <w:lang w:val="en-US" w:eastAsia="en-US"/>
        </w:rPr>
        <w:t>Word</w:t>
      </w:r>
      <w:r w:rsidRPr="00562999">
        <w:rPr>
          <w:rFonts w:ascii="Times New Roman" w:eastAsia="Calibri" w:hAnsi="Times New Roman"/>
          <w:sz w:val="22"/>
          <w:szCs w:val="22"/>
          <w:lang w:eastAsia="en-US"/>
        </w:rPr>
        <w:t xml:space="preserve">. </w:t>
      </w:r>
      <w:r w:rsidRPr="00562999">
        <w:rPr>
          <w:rFonts w:ascii="Times New Roman" w:eastAsia="Calibri" w:hAnsi="Times New Roman"/>
          <w:sz w:val="22"/>
          <w:szCs w:val="22"/>
          <w:lang w:val="en-US" w:eastAsia="en-US"/>
        </w:rPr>
        <w:t>LERSUS</w:t>
      </w:r>
      <w:r w:rsidRPr="002963E2">
        <w:rPr>
          <w:rFonts w:ascii="Times New Roman" w:eastAsia="Calibri" w:hAnsi="Times New Roman"/>
          <w:sz w:val="22"/>
          <w:szCs w:val="22"/>
          <w:lang w:eastAsia="en-US"/>
        </w:rPr>
        <w:t xml:space="preserve"> </w:t>
      </w:r>
      <w:r w:rsidRPr="00562999">
        <w:rPr>
          <w:rFonts w:ascii="Times New Roman" w:eastAsia="Calibri" w:hAnsi="Times New Roman"/>
          <w:sz w:val="22"/>
          <w:szCs w:val="22"/>
          <w:lang w:eastAsia="en-US"/>
        </w:rPr>
        <w:t>версия</w:t>
      </w:r>
      <w:r w:rsidRPr="002963E2">
        <w:rPr>
          <w:rFonts w:ascii="Times New Roman" w:eastAsia="Calibri" w:hAnsi="Times New Roman"/>
          <w:sz w:val="22"/>
          <w:szCs w:val="22"/>
          <w:lang w:eastAsia="en-US"/>
        </w:rPr>
        <w:t xml:space="preserve"> 3.3.0.0</w:t>
      </w:r>
    </w:p>
    <w:p w14:paraId="5840DDF2" w14:textId="0F7F52C4" w:rsidR="00562999" w:rsidRDefault="00562999" w:rsidP="00562999">
      <w:pPr>
        <w:pStyle w:val="a9"/>
        <w:jc w:val="both"/>
        <w:rPr>
          <w:rFonts w:ascii="Times New Roman" w:hAnsi="Times New Roman"/>
          <w:sz w:val="20"/>
          <w:szCs w:val="28"/>
        </w:rPr>
      </w:pPr>
      <w:r>
        <w:rPr>
          <w:rFonts w:ascii="Times New Roman" w:hAnsi="Times New Roman"/>
          <w:sz w:val="20"/>
          <w:szCs w:val="28"/>
        </w:rPr>
        <w:t xml:space="preserve">Объем базы данных в машиночитаемой форме в единицах, кратных числу </w:t>
      </w:r>
      <w:proofErr w:type="gramStart"/>
      <w:r>
        <w:rPr>
          <w:rFonts w:ascii="Times New Roman" w:hAnsi="Times New Roman"/>
          <w:sz w:val="20"/>
          <w:szCs w:val="28"/>
        </w:rPr>
        <w:t xml:space="preserve">байт: </w:t>
      </w:r>
      <w:r w:rsidRPr="009A70E2">
        <w:rPr>
          <w:sz w:val="22"/>
          <w:szCs w:val="22"/>
        </w:rPr>
        <w:t xml:space="preserve"> </w:t>
      </w:r>
      <w:r>
        <w:rPr>
          <w:rFonts w:ascii="Times New Roman" w:hAnsi="Times New Roman"/>
          <w:sz w:val="22"/>
          <w:szCs w:val="22"/>
        </w:rPr>
        <w:t>28</w:t>
      </w:r>
      <w:proofErr w:type="gramEnd"/>
      <w:r>
        <w:rPr>
          <w:rFonts w:ascii="Times New Roman" w:hAnsi="Times New Roman"/>
          <w:sz w:val="22"/>
          <w:szCs w:val="22"/>
        </w:rPr>
        <w:t>,8</w:t>
      </w:r>
      <w:r w:rsidRPr="009A70E2">
        <w:rPr>
          <w:rFonts w:ascii="Times New Roman" w:hAnsi="Times New Roman"/>
          <w:sz w:val="22"/>
          <w:szCs w:val="22"/>
        </w:rPr>
        <w:t xml:space="preserve"> Мб</w:t>
      </w:r>
    </w:p>
    <w:p w14:paraId="4B8F84E0" w14:textId="77777777" w:rsidR="00562999" w:rsidRDefault="00562999" w:rsidP="00C1345A">
      <w:pPr>
        <w:spacing w:line="360" w:lineRule="auto"/>
        <w:jc w:val="both"/>
        <w:rPr>
          <w:rFonts w:eastAsia="Calibri"/>
          <w:sz w:val="22"/>
          <w:szCs w:val="22"/>
          <w:u w:val="single"/>
          <w:lang w:eastAsia="en-US"/>
        </w:rPr>
      </w:pPr>
    </w:p>
    <w:p w14:paraId="5BE957CB" w14:textId="77777777" w:rsidR="00830ABF" w:rsidRPr="00D02384" w:rsidRDefault="00562999" w:rsidP="00830ABF">
      <w:pPr>
        <w:jc w:val="center"/>
        <w:rPr>
          <w:sz w:val="24"/>
          <w:szCs w:val="24"/>
        </w:rPr>
      </w:pPr>
      <w:r>
        <w:rPr>
          <w:sz w:val="24"/>
          <w:szCs w:val="24"/>
        </w:rPr>
        <w:br w:type="page"/>
      </w:r>
      <w:r w:rsidR="00830ABF" w:rsidRPr="00D02384">
        <w:rPr>
          <w:sz w:val="24"/>
          <w:szCs w:val="24"/>
        </w:rPr>
        <w:lastRenderedPageBreak/>
        <w:t xml:space="preserve"> </w:t>
      </w:r>
    </w:p>
    <w:p w14:paraId="21D9FF75" w14:textId="77777777" w:rsidR="008C4334" w:rsidRPr="00D02384" w:rsidRDefault="008C4334" w:rsidP="008C4334">
      <w:pPr>
        <w:pStyle w:val="a3"/>
        <w:ind w:firstLine="426"/>
        <w:rPr>
          <w:sz w:val="24"/>
          <w:szCs w:val="24"/>
        </w:rPr>
      </w:pPr>
      <w:r w:rsidRPr="00D02384">
        <w:rPr>
          <w:sz w:val="24"/>
          <w:szCs w:val="24"/>
        </w:rPr>
        <w:t>Пример для БД</w:t>
      </w:r>
      <w:r w:rsidR="00505D2C" w:rsidRPr="00D02384">
        <w:rPr>
          <w:sz w:val="24"/>
          <w:szCs w:val="24"/>
        </w:rPr>
        <w:t xml:space="preserve"> (</w:t>
      </w:r>
      <w:proofErr w:type="spellStart"/>
      <w:proofErr w:type="gramStart"/>
      <w:r w:rsidR="00505D2C" w:rsidRPr="00D02384">
        <w:rPr>
          <w:sz w:val="24"/>
          <w:szCs w:val="24"/>
        </w:rPr>
        <w:t>эл.учебник</w:t>
      </w:r>
      <w:proofErr w:type="spellEnd"/>
      <w:proofErr w:type="gramEnd"/>
      <w:r w:rsidR="00830ABF">
        <w:rPr>
          <w:sz w:val="24"/>
          <w:szCs w:val="24"/>
        </w:rPr>
        <w:t>/пособие</w:t>
      </w:r>
      <w:r w:rsidR="00505D2C" w:rsidRPr="00D02384">
        <w:rPr>
          <w:sz w:val="24"/>
          <w:szCs w:val="24"/>
        </w:rPr>
        <w:t>)</w:t>
      </w:r>
    </w:p>
    <w:p w14:paraId="4329F6E2" w14:textId="77777777" w:rsidR="008C4334" w:rsidRDefault="008C4334" w:rsidP="008C4334">
      <w:pPr>
        <w:rPr>
          <w:sz w:val="16"/>
          <w:szCs w:val="16"/>
        </w:rPr>
      </w:pPr>
    </w:p>
    <w:p w14:paraId="3BF10B9A" w14:textId="77777777" w:rsidR="008C4334" w:rsidRDefault="008C4334" w:rsidP="008C4334">
      <w:pPr>
        <w:rPr>
          <w:sz w:val="16"/>
          <w:szCs w:val="16"/>
        </w:rPr>
      </w:pPr>
    </w:p>
    <w:p w14:paraId="2956E212" w14:textId="77777777" w:rsidR="00EC5ECD" w:rsidRPr="008C4334" w:rsidRDefault="007F3C7B" w:rsidP="008C4334">
      <w:pPr>
        <w:rPr>
          <w:noProof/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33CF8BAE" wp14:editId="3C2E5918">
            <wp:extent cx="5867400" cy="32956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67400" cy="329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2B9F30" w14:textId="77777777" w:rsidR="00EC5ECD" w:rsidRDefault="00EC5ECD" w:rsidP="008C4334">
      <w:pPr>
        <w:rPr>
          <w:noProof/>
          <w:sz w:val="16"/>
          <w:szCs w:val="16"/>
        </w:rPr>
      </w:pPr>
    </w:p>
    <w:p w14:paraId="7586B553" w14:textId="77777777" w:rsidR="00EC5ECD" w:rsidRDefault="007F3C7B" w:rsidP="008C4334">
      <w:pPr>
        <w:rPr>
          <w:noProof/>
          <w:sz w:val="16"/>
          <w:szCs w:val="16"/>
        </w:rPr>
      </w:pPr>
      <w:r>
        <w:rPr>
          <w:noProof/>
        </w:rPr>
        <w:drawing>
          <wp:inline distT="0" distB="0" distL="0" distR="0" wp14:anchorId="591CCC9D" wp14:editId="40E291EE">
            <wp:extent cx="5895975" cy="3781425"/>
            <wp:effectExtent l="0" t="0" r="9525" b="9525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5975" cy="37814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E71688" w14:textId="77777777" w:rsidR="00EC5ECD" w:rsidRDefault="00EC5ECD" w:rsidP="008C4334">
      <w:pPr>
        <w:rPr>
          <w:noProof/>
          <w:sz w:val="16"/>
          <w:szCs w:val="16"/>
        </w:rPr>
      </w:pPr>
      <w:r>
        <w:rPr>
          <w:noProof/>
          <w:sz w:val="16"/>
          <w:szCs w:val="16"/>
        </w:rPr>
        <w:br w:type="page"/>
      </w:r>
      <w:r w:rsidR="007F3C7B">
        <w:rPr>
          <w:noProof/>
        </w:rPr>
        <w:lastRenderedPageBreak/>
        <w:drawing>
          <wp:inline distT="0" distB="0" distL="0" distR="0" wp14:anchorId="4F052AB5" wp14:editId="2296ED3D">
            <wp:extent cx="5838825" cy="2981325"/>
            <wp:effectExtent l="0" t="0" r="9525" b="9525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38825" cy="2981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58301A" w14:textId="77777777" w:rsidR="00EC5ECD" w:rsidRDefault="00EC5ECD" w:rsidP="008C4334">
      <w:pPr>
        <w:rPr>
          <w:noProof/>
          <w:sz w:val="16"/>
          <w:szCs w:val="16"/>
        </w:rPr>
      </w:pPr>
    </w:p>
    <w:p w14:paraId="013A4757" w14:textId="77777777" w:rsidR="008C4334" w:rsidRPr="008C4334" w:rsidRDefault="007F3C7B" w:rsidP="008C4334">
      <w:pPr>
        <w:rPr>
          <w:sz w:val="16"/>
          <w:szCs w:val="16"/>
        </w:rPr>
      </w:pPr>
      <w:r>
        <w:rPr>
          <w:noProof/>
          <w:sz w:val="16"/>
          <w:szCs w:val="16"/>
        </w:rPr>
        <w:drawing>
          <wp:inline distT="0" distB="0" distL="0" distR="0" wp14:anchorId="178CB4F5" wp14:editId="0C06C844">
            <wp:extent cx="5593080" cy="3142615"/>
            <wp:effectExtent l="0" t="0" r="7620" b="635"/>
            <wp:docPr id="4" name="Рисунок 3" descr="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3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3080" cy="3142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8C4334" w:rsidRPr="008C433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D293E9C"/>
    <w:multiLevelType w:val="hybridMultilevel"/>
    <w:tmpl w:val="6CE05C66"/>
    <w:lvl w:ilvl="0" w:tplc="04190001">
      <w:start w:val="1"/>
      <w:numFmt w:val="bullet"/>
      <w:lvlText w:val=""/>
      <w:lvlJc w:val="left"/>
      <w:pPr>
        <w:tabs>
          <w:tab w:val="num" w:pos="1712"/>
        </w:tabs>
        <w:ind w:left="171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432"/>
        </w:tabs>
        <w:ind w:left="2432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152"/>
        </w:tabs>
        <w:ind w:left="3152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872"/>
        </w:tabs>
        <w:ind w:left="3872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92"/>
        </w:tabs>
        <w:ind w:left="4592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312"/>
        </w:tabs>
        <w:ind w:left="5312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032"/>
        </w:tabs>
        <w:ind w:left="6032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752"/>
        </w:tabs>
        <w:ind w:left="6752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472"/>
        </w:tabs>
        <w:ind w:left="7472" w:hanging="360"/>
      </w:pPr>
      <w:rPr>
        <w:rFonts w:ascii="Wingdings" w:hAnsi="Wingdings" w:hint="default"/>
      </w:rPr>
    </w:lvl>
  </w:abstractNum>
  <w:num w:numId="1" w16cid:durableId="71430655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drawingGridHorizontalSpacing w:val="57"/>
  <w:drawingGridVerticalSpacing w:val="57"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C73CB8"/>
    <w:rsid w:val="000154CF"/>
    <w:rsid w:val="000474A6"/>
    <w:rsid w:val="00121FC0"/>
    <w:rsid w:val="002026B7"/>
    <w:rsid w:val="00217DFD"/>
    <w:rsid w:val="00233C88"/>
    <w:rsid w:val="00252A80"/>
    <w:rsid w:val="00283EDE"/>
    <w:rsid w:val="00293478"/>
    <w:rsid w:val="002963E2"/>
    <w:rsid w:val="002D6D61"/>
    <w:rsid w:val="00322B50"/>
    <w:rsid w:val="00383FF7"/>
    <w:rsid w:val="004F72D7"/>
    <w:rsid w:val="00505D2C"/>
    <w:rsid w:val="0055796B"/>
    <w:rsid w:val="00562999"/>
    <w:rsid w:val="005B12A6"/>
    <w:rsid w:val="005B242C"/>
    <w:rsid w:val="005C1675"/>
    <w:rsid w:val="00625A56"/>
    <w:rsid w:val="00626C3A"/>
    <w:rsid w:val="00634B77"/>
    <w:rsid w:val="006711BB"/>
    <w:rsid w:val="007543EB"/>
    <w:rsid w:val="007D7B76"/>
    <w:rsid w:val="007F3C7B"/>
    <w:rsid w:val="008022C4"/>
    <w:rsid w:val="00804B91"/>
    <w:rsid w:val="008137A4"/>
    <w:rsid w:val="00830ABF"/>
    <w:rsid w:val="00860C5C"/>
    <w:rsid w:val="008B61B7"/>
    <w:rsid w:val="008C4334"/>
    <w:rsid w:val="008E6E01"/>
    <w:rsid w:val="008F0D29"/>
    <w:rsid w:val="00940059"/>
    <w:rsid w:val="00940698"/>
    <w:rsid w:val="00962262"/>
    <w:rsid w:val="009C70C1"/>
    <w:rsid w:val="00A469E9"/>
    <w:rsid w:val="00A82818"/>
    <w:rsid w:val="00AE2D22"/>
    <w:rsid w:val="00B61BB7"/>
    <w:rsid w:val="00B6702D"/>
    <w:rsid w:val="00B74DB3"/>
    <w:rsid w:val="00B8237F"/>
    <w:rsid w:val="00BE14BD"/>
    <w:rsid w:val="00C0620D"/>
    <w:rsid w:val="00C1345A"/>
    <w:rsid w:val="00C73CB8"/>
    <w:rsid w:val="00CE0797"/>
    <w:rsid w:val="00CF0AAB"/>
    <w:rsid w:val="00D02384"/>
    <w:rsid w:val="00D75A6A"/>
    <w:rsid w:val="00DA245A"/>
    <w:rsid w:val="00DF088B"/>
    <w:rsid w:val="00E60747"/>
    <w:rsid w:val="00E77D6F"/>
    <w:rsid w:val="00EB6CF7"/>
    <w:rsid w:val="00EC5ECD"/>
    <w:rsid w:val="00EF382F"/>
    <w:rsid w:val="00F86C98"/>
    <w:rsid w:val="00FB7490"/>
    <w:rsid w:val="00FC6F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DB64A3C"/>
  <w15:docId w15:val="{9A180DB0-45F9-40E2-9DD4-53426E1FB7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rsid w:val="00322B50"/>
  </w:style>
  <w:style w:type="paragraph" w:styleId="2">
    <w:name w:val="heading 2"/>
    <w:basedOn w:val="a"/>
    <w:next w:val="a"/>
    <w:qFormat/>
    <w:rsid w:val="0055796B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4">
    <w:name w:val="heading 4"/>
    <w:basedOn w:val="a"/>
    <w:qFormat/>
    <w:rsid w:val="00634B77"/>
    <w:pPr>
      <w:spacing w:after="50"/>
      <w:outlineLvl w:val="3"/>
    </w:pPr>
    <w:rPr>
      <w:b/>
      <w:bCs/>
      <w:color w:val="000000"/>
      <w:sz w:val="12"/>
      <w:szCs w:val="1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link w:val="a4"/>
    <w:qFormat/>
    <w:rsid w:val="00322B50"/>
    <w:pPr>
      <w:jc w:val="center"/>
    </w:pPr>
    <w:rPr>
      <w:b/>
      <w:sz w:val="28"/>
    </w:rPr>
  </w:style>
  <w:style w:type="paragraph" w:styleId="a5">
    <w:name w:val="Body Text"/>
    <w:basedOn w:val="a"/>
    <w:rsid w:val="00322B50"/>
    <w:pPr>
      <w:spacing w:line="360" w:lineRule="auto"/>
      <w:jc w:val="both"/>
    </w:pPr>
    <w:rPr>
      <w:sz w:val="28"/>
    </w:rPr>
  </w:style>
  <w:style w:type="character" w:styleId="a6">
    <w:name w:val="Hyperlink"/>
    <w:rsid w:val="00634B77"/>
    <w:rPr>
      <w:color w:val="004B89"/>
      <w:u w:val="single"/>
    </w:rPr>
  </w:style>
  <w:style w:type="character" w:styleId="a7">
    <w:name w:val="Emphasis"/>
    <w:qFormat/>
    <w:rsid w:val="0055796B"/>
    <w:rPr>
      <w:i/>
      <w:iCs/>
    </w:rPr>
  </w:style>
  <w:style w:type="table" w:styleId="a8">
    <w:name w:val="Table Grid"/>
    <w:basedOn w:val="a1"/>
    <w:rsid w:val="000154C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Заголовок Знак"/>
    <w:link w:val="a3"/>
    <w:rsid w:val="008C4334"/>
    <w:rPr>
      <w:b/>
      <w:sz w:val="28"/>
    </w:rPr>
  </w:style>
  <w:style w:type="paragraph" w:styleId="a9">
    <w:name w:val="Normal (Web)"/>
    <w:basedOn w:val="a"/>
    <w:unhideWhenUsed/>
    <w:rsid w:val="00562999"/>
    <w:pPr>
      <w:spacing w:before="45" w:after="105"/>
    </w:pPr>
    <w:rPr>
      <w:rFonts w:ascii="Verdana" w:hAnsi="Verdana"/>
      <w:color w:val="000000"/>
      <w:sz w:val="18"/>
      <w:szCs w:val="18"/>
    </w:rPr>
  </w:style>
  <w:style w:type="paragraph" w:styleId="aa">
    <w:name w:val="Balloon Text"/>
    <w:basedOn w:val="a"/>
    <w:link w:val="ab"/>
    <w:rsid w:val="008022C4"/>
    <w:rPr>
      <w:rFonts w:ascii="Tahoma" w:hAnsi="Tahoma" w:cs="Tahoma"/>
      <w:sz w:val="16"/>
      <w:szCs w:val="16"/>
    </w:rPr>
  </w:style>
  <w:style w:type="character" w:customStyle="1" w:styleId="ab">
    <w:name w:val="Текст выноски Знак"/>
    <w:link w:val="aa"/>
    <w:rsid w:val="008022C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95027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3</Pages>
  <Words>313</Words>
  <Characters>1790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Приложение</vt:lpstr>
    </vt:vector>
  </TitlesOfParts>
  <Company/>
  <LinksUpToDate>false</LinksUpToDate>
  <CharactersWithSpaces>2099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Приложение</dc:title>
  <dc:creator>Сотрудник</dc:creator>
  <cp:lastModifiedBy>Шаруха Георгий</cp:lastModifiedBy>
  <cp:revision>3</cp:revision>
  <cp:lastPrinted>2019-01-22T11:53:00Z</cp:lastPrinted>
  <dcterms:created xsi:type="dcterms:W3CDTF">2022-10-10T05:49:00Z</dcterms:created>
  <dcterms:modified xsi:type="dcterms:W3CDTF">2025-03-04T09:13:00Z</dcterms:modified>
</cp:coreProperties>
</file>